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5ABAA7C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realizowane w trybie konkursu ofert</w:t>
      </w:r>
      <w:r w:rsidR="00F7732B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zgodnie z</w:t>
      </w:r>
      <w:r w:rsidR="00F7732B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0647055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1143C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0EA6C284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469"/>
        <w:gridCol w:w="1991"/>
      </w:tblGrid>
      <w:tr w:rsidR="00B637BC" w:rsidRPr="005007BB" w14:paraId="651A852C" w14:textId="77777777" w:rsidTr="00B637BC">
        <w:tc>
          <w:tcPr>
            <w:tcW w:w="526" w:type="dxa"/>
          </w:tcPr>
          <w:p w14:paraId="42F3E174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14:paraId="211D0006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B637BC">
              <w:rPr>
                <w:sz w:val="18"/>
                <w:szCs w:val="18"/>
              </w:rPr>
              <w:t>Lp.</w:t>
            </w:r>
          </w:p>
        </w:tc>
        <w:tc>
          <w:tcPr>
            <w:tcW w:w="5469" w:type="dxa"/>
          </w:tcPr>
          <w:p w14:paraId="7096BAB2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B637BC">
              <w:rPr>
                <w:sz w:val="18"/>
                <w:szCs w:val="18"/>
              </w:rPr>
              <w:t>Nazwa świadczenia</w:t>
            </w:r>
          </w:p>
        </w:tc>
        <w:tc>
          <w:tcPr>
            <w:tcW w:w="1991" w:type="dxa"/>
          </w:tcPr>
          <w:p w14:paraId="4F28A3A3" w14:textId="0680960B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B637BC">
              <w:rPr>
                <w:sz w:val="18"/>
                <w:szCs w:val="18"/>
              </w:rPr>
              <w:t>cena brutto za jedną godzinę udzielania świadczenia/ za jedną interwencję</w:t>
            </w:r>
          </w:p>
        </w:tc>
      </w:tr>
      <w:tr w:rsidR="00B637BC" w:rsidRPr="005007BB" w14:paraId="04EBC415" w14:textId="77777777" w:rsidTr="00B637BC">
        <w:trPr>
          <w:trHeight w:val="598"/>
        </w:trPr>
        <w:tc>
          <w:tcPr>
            <w:tcW w:w="526" w:type="dxa"/>
          </w:tcPr>
          <w:p w14:paraId="4573C479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1.</w:t>
            </w:r>
          </w:p>
        </w:tc>
        <w:tc>
          <w:tcPr>
            <w:tcW w:w="5469" w:type="dxa"/>
          </w:tcPr>
          <w:p w14:paraId="0545277C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Dni powszechne - robocze od godz. 15.35 do 8.00 dnia następnego oraz dni wolne od pracy (soboty, niedziele i święta) od 8.00 do 8.00 dnia następnego</w:t>
            </w:r>
          </w:p>
        </w:tc>
        <w:tc>
          <w:tcPr>
            <w:tcW w:w="1991" w:type="dxa"/>
          </w:tcPr>
          <w:p w14:paraId="621CC62E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B637BC" w:rsidRPr="005007BB" w14:paraId="608C0FFA" w14:textId="77777777" w:rsidTr="00B637BC">
        <w:trPr>
          <w:trHeight w:val="411"/>
        </w:trPr>
        <w:tc>
          <w:tcPr>
            <w:tcW w:w="526" w:type="dxa"/>
          </w:tcPr>
          <w:p w14:paraId="63CE0649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2.</w:t>
            </w:r>
          </w:p>
        </w:tc>
        <w:tc>
          <w:tcPr>
            <w:tcW w:w="5469" w:type="dxa"/>
          </w:tcPr>
          <w:p w14:paraId="71D4023F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Jedna interwencja w Pododdziale Chemioterapii dziennej i ambulatoryjnej</w:t>
            </w:r>
          </w:p>
        </w:tc>
        <w:tc>
          <w:tcPr>
            <w:tcW w:w="1991" w:type="dxa"/>
          </w:tcPr>
          <w:p w14:paraId="289112D4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B637BC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4A23" w14:textId="77777777" w:rsidR="00A6693D" w:rsidRDefault="00A6693D">
      <w:r>
        <w:separator/>
      </w:r>
    </w:p>
  </w:endnote>
  <w:endnote w:type="continuationSeparator" w:id="0">
    <w:p w14:paraId="694FDEC9" w14:textId="77777777" w:rsidR="00A6693D" w:rsidRDefault="00A6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1A7C" w14:textId="77777777" w:rsidR="00A6693D" w:rsidRDefault="00A6693D">
      <w:r>
        <w:separator/>
      </w:r>
    </w:p>
  </w:footnote>
  <w:footnote w:type="continuationSeparator" w:id="0">
    <w:p w14:paraId="76697D94" w14:textId="77777777" w:rsidR="00A6693D" w:rsidRDefault="00A6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5F0E013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49A6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3249F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3296A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F4AD0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5A1A2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62783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DC122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CA783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5F0E0138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49A68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3249F0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3296A8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F4AD06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5A1A2E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62783E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DC122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CA783A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7E62098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7E62098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7A625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688FC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966E2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3204B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32CEC1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D423BC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B01DE4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50B60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F090C"/>
    <w:rsid w:val="00104C03"/>
    <w:rsid w:val="001143CA"/>
    <w:rsid w:val="001311D1"/>
    <w:rsid w:val="00183742"/>
    <w:rsid w:val="001B11F4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B512D"/>
    <w:rsid w:val="004B799B"/>
    <w:rsid w:val="004E09CD"/>
    <w:rsid w:val="00530C1D"/>
    <w:rsid w:val="005B0B8F"/>
    <w:rsid w:val="00637B38"/>
    <w:rsid w:val="00681388"/>
    <w:rsid w:val="00716E07"/>
    <w:rsid w:val="00724BFD"/>
    <w:rsid w:val="008A2C64"/>
    <w:rsid w:val="008B3B3E"/>
    <w:rsid w:val="00A312A4"/>
    <w:rsid w:val="00A6693D"/>
    <w:rsid w:val="00B0395F"/>
    <w:rsid w:val="00B1116E"/>
    <w:rsid w:val="00B637BC"/>
    <w:rsid w:val="00B72197"/>
    <w:rsid w:val="00C949EF"/>
    <w:rsid w:val="00CB0A2C"/>
    <w:rsid w:val="00CC168C"/>
    <w:rsid w:val="00CC55E9"/>
    <w:rsid w:val="00CD5AE8"/>
    <w:rsid w:val="00CD6DF8"/>
    <w:rsid w:val="00CE3DA4"/>
    <w:rsid w:val="00E2236B"/>
    <w:rsid w:val="00E22BAE"/>
    <w:rsid w:val="00E837C8"/>
    <w:rsid w:val="00E90742"/>
    <w:rsid w:val="00F7732B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2025-12-29T13:42:00Z</cp:lastPrinted>
  <dcterms:created xsi:type="dcterms:W3CDTF">2025-12-29T13:40:00Z</dcterms:created>
  <dcterms:modified xsi:type="dcterms:W3CDTF">2025-12-29T13:43:00Z</dcterms:modified>
</cp:coreProperties>
</file>